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6B" w:rsidRDefault="00A32F6B" w:rsidP="00A32F6B">
      <w:bookmarkStart w:id="0" w:name="_GoBack"/>
      <w:proofErr w:type="gramStart"/>
      <w:r>
        <w:t xml:space="preserve">Requesting withdrawal of drug dissolution apparatuses from </w:t>
      </w:r>
      <w:r w:rsidR="0054263E">
        <w:t xml:space="preserve">FDA </w:t>
      </w:r>
      <w:r>
        <w:t>regulatory requirements.</w:t>
      </w:r>
      <w:proofErr w:type="gramEnd"/>
    </w:p>
    <w:p w:rsidR="00A32F6B" w:rsidRDefault="00A32F6B" w:rsidP="00A32F6B">
      <w:r>
        <w:t xml:space="preserve">A drug dissolution test is an analytical test used to assess </w:t>
      </w:r>
      <w:r w:rsidR="003B7CEA">
        <w:t xml:space="preserve">the </w:t>
      </w:r>
      <w:r>
        <w:t>quality of pharmaceutical products such as tablet and capsule (both prescription and non-prescription types). These tests are extensively conducted during product development stages as well as later as a quality control tool for establishing quality of the manufactured products</w:t>
      </w:r>
      <w:r w:rsidR="007023C0">
        <w:t xml:space="preserve"> [1]</w:t>
      </w:r>
      <w:r>
        <w:t xml:space="preserve">. The tests are conducted using testers commonly known as drug dissolution apparatuses such as paddle and basket. The specifications and instructions </w:t>
      </w:r>
      <w:r w:rsidR="001563F8">
        <w:t xml:space="preserve">to follow for the </w:t>
      </w:r>
      <w:r>
        <w:t xml:space="preserve">use </w:t>
      </w:r>
      <w:r w:rsidR="001563F8">
        <w:t xml:space="preserve">of </w:t>
      </w:r>
      <w:r>
        <w:t>these apparatuses are provided in the USP General Chapter &lt;711&gt;</w:t>
      </w:r>
      <w:r w:rsidR="007023C0">
        <w:t xml:space="preserve"> [2]</w:t>
      </w:r>
      <w:r>
        <w:t>.</w:t>
      </w:r>
    </w:p>
    <w:p w:rsidR="00A32F6B" w:rsidRDefault="00A32F6B" w:rsidP="00A32F6B">
      <w:r>
        <w:t xml:space="preserve">There are numerous regulations and </w:t>
      </w:r>
      <w:r w:rsidR="006F06FE">
        <w:t xml:space="preserve">Guidance documents available </w:t>
      </w:r>
      <w:r w:rsidR="00EE39B3">
        <w:t xml:space="preserve">from FDA </w:t>
      </w:r>
      <w:r w:rsidR="006F06FE">
        <w:t>which dictate</w:t>
      </w:r>
      <w:r>
        <w:t xml:space="preserve"> the use of these apparatuses</w:t>
      </w:r>
      <w:r w:rsidR="00D2107B">
        <w:t xml:space="preserve"> [</w:t>
      </w:r>
      <w:r w:rsidR="00367C27">
        <w:t xml:space="preserve">e.g. see </w:t>
      </w:r>
      <w:r w:rsidR="007243E4">
        <w:t>3</w:t>
      </w:r>
      <w:r w:rsidR="001563F8">
        <w:t>-</w:t>
      </w:r>
      <w:r w:rsidR="007243E4">
        <w:t>5</w:t>
      </w:r>
      <w:r w:rsidR="001563F8">
        <w:t>]</w:t>
      </w:r>
      <w:r>
        <w:t>.</w:t>
      </w:r>
    </w:p>
    <w:p w:rsidR="00A32F6B" w:rsidRDefault="00A32F6B" w:rsidP="00A32F6B">
      <w:r>
        <w:t xml:space="preserve">On the other hand, as per cGMP requirements every equipment, including </w:t>
      </w:r>
      <w:r w:rsidR="00715C45">
        <w:t>apparatuses/</w:t>
      </w:r>
      <w:r>
        <w:t xml:space="preserve">testers, used for drug product </w:t>
      </w:r>
      <w:r w:rsidR="00367C27">
        <w:t xml:space="preserve">manufacturing and </w:t>
      </w:r>
      <w:r>
        <w:t xml:space="preserve">evaluation must be validated </w:t>
      </w:r>
      <w:r w:rsidR="001563F8">
        <w:t>[</w:t>
      </w:r>
      <w:r w:rsidR="00DD2572">
        <w:t xml:space="preserve">e.g. see </w:t>
      </w:r>
      <w:r w:rsidR="007243E4">
        <w:t>6</w:t>
      </w:r>
      <w:r w:rsidR="00DD2572">
        <w:t>-8</w:t>
      </w:r>
      <w:r w:rsidR="001563F8">
        <w:t xml:space="preserve">] </w:t>
      </w:r>
      <w:r>
        <w:t xml:space="preserve">to demonstrate that </w:t>
      </w:r>
      <w:r w:rsidR="00D2107B">
        <w:t>the</w:t>
      </w:r>
      <w:r>
        <w:t xml:space="preserve"> equipment</w:t>
      </w:r>
      <w:r w:rsidR="0054263E">
        <w:t xml:space="preserve"> or </w:t>
      </w:r>
      <w:r>
        <w:t>tester</w:t>
      </w:r>
      <w:r w:rsidR="00367C27">
        <w:t>s</w:t>
      </w:r>
      <w:r>
        <w:t xml:space="preserve"> </w:t>
      </w:r>
      <w:r w:rsidR="00367C27">
        <w:t xml:space="preserve">are </w:t>
      </w:r>
      <w:r>
        <w:t>qualified and validated for the intended use and purpose</w:t>
      </w:r>
      <w:r w:rsidR="005278EA">
        <w:t>.</w:t>
      </w:r>
      <w:r w:rsidR="00CC2BBB">
        <w:t xml:space="preserve"> </w:t>
      </w:r>
      <w:r>
        <w:t xml:space="preserve">However, the </w:t>
      </w:r>
      <w:r w:rsidR="00367C27">
        <w:t xml:space="preserve">drug dissolution </w:t>
      </w:r>
      <w:r>
        <w:t>testers have never been validated for the</w:t>
      </w:r>
      <w:r w:rsidR="004858B7">
        <w:t>ir</w:t>
      </w:r>
      <w:r>
        <w:t xml:space="preserve"> intended use</w:t>
      </w:r>
      <w:r w:rsidR="004858B7">
        <w:t xml:space="preserve">. </w:t>
      </w:r>
      <w:r w:rsidR="00777AF4">
        <w:t xml:space="preserve">Regulatory authorities (including US FDA), </w:t>
      </w:r>
      <w:r w:rsidR="00AA778F">
        <w:t>p</w:t>
      </w:r>
      <w:r w:rsidR="004858B7">
        <w:t>harmacopeias</w:t>
      </w:r>
      <w:r w:rsidR="00777AF4">
        <w:t xml:space="preserve"> (</w:t>
      </w:r>
      <w:r w:rsidR="004858B7">
        <w:t>including USP</w:t>
      </w:r>
      <w:r w:rsidR="00777AF4">
        <w:t>)</w:t>
      </w:r>
      <w:r w:rsidR="004858B7">
        <w:t>, manufacturers and/or suppliers of the</w:t>
      </w:r>
      <w:r w:rsidR="00367C27">
        <w:t xml:space="preserve"> products and the te</w:t>
      </w:r>
      <w:r w:rsidR="004858B7">
        <w:t xml:space="preserve">sters </w:t>
      </w:r>
      <w:r w:rsidR="004858B7" w:rsidRPr="00777AF4">
        <w:rPr>
          <w:b/>
          <w:i/>
        </w:rPr>
        <w:t>do not</w:t>
      </w:r>
      <w:r w:rsidR="004858B7">
        <w:t xml:space="preserve"> </w:t>
      </w:r>
      <w:r w:rsidR="00777AF4">
        <w:t xml:space="preserve">maintain or </w:t>
      </w:r>
      <w:r w:rsidR="004858B7">
        <w:t>provide any supporting documentation in this respect.</w:t>
      </w:r>
      <w:r>
        <w:t xml:space="preserve"> </w:t>
      </w:r>
      <w:r w:rsidR="004858B7">
        <w:t>Therefore, at present,</w:t>
      </w:r>
      <w:r>
        <w:t xml:space="preserve"> if given a </w:t>
      </w:r>
      <w:r w:rsidR="006F06FE">
        <w:t xml:space="preserve">(blinded) </w:t>
      </w:r>
      <w:r>
        <w:t>product (tablet/capsule)</w:t>
      </w:r>
      <w:r w:rsidR="00D2107B">
        <w:t xml:space="preserve"> sample</w:t>
      </w:r>
      <w:r>
        <w:t xml:space="preserve">, a common practice in evaluating </w:t>
      </w:r>
      <w:r w:rsidR="003B7CEA">
        <w:t xml:space="preserve">the </w:t>
      </w:r>
      <w:r>
        <w:t>capability of a tester/</w:t>
      </w:r>
      <w:r w:rsidR="00E418D7">
        <w:t>apparatus</w:t>
      </w:r>
      <w:r w:rsidR="00551BBB">
        <w:t>,</w:t>
      </w:r>
      <w:r>
        <w:t xml:space="preserve"> it is not possible for an analyst to </w:t>
      </w:r>
      <w:r w:rsidR="00D2107B">
        <w:t xml:space="preserve">obtain </w:t>
      </w:r>
      <w:r w:rsidR="00206492">
        <w:t xml:space="preserve">valid or accurate </w:t>
      </w:r>
      <w:r>
        <w:t xml:space="preserve">dissolution </w:t>
      </w:r>
      <w:r w:rsidR="00CC2BBB">
        <w:t>results/</w:t>
      </w:r>
      <w:r>
        <w:t xml:space="preserve">characteristics of </w:t>
      </w:r>
      <w:r w:rsidR="00AA778F">
        <w:t>any</w:t>
      </w:r>
      <w:r>
        <w:t xml:space="preserve"> product, hence its quality. Thus, the consumer</w:t>
      </w:r>
      <w:r w:rsidR="006F06FE">
        <w:t>s</w:t>
      </w:r>
      <w:r>
        <w:t>/patient</w:t>
      </w:r>
      <w:r w:rsidR="006F06FE">
        <w:t>s</w:t>
      </w:r>
      <w:r>
        <w:t xml:space="preserve"> </w:t>
      </w:r>
      <w:r w:rsidR="006F06FE">
        <w:t xml:space="preserve">have been </w:t>
      </w:r>
      <w:r>
        <w:t>receiv</w:t>
      </w:r>
      <w:r w:rsidR="006F06FE">
        <w:t>ing</w:t>
      </w:r>
      <w:r>
        <w:t xml:space="preserve"> false assurance about the quality of the </w:t>
      </w:r>
      <w:r w:rsidR="00E4416E">
        <w:t xml:space="preserve">manufactured </w:t>
      </w:r>
      <w:r>
        <w:t>products.</w:t>
      </w:r>
    </w:p>
    <w:p w:rsidR="00A32F6B" w:rsidRDefault="00A32F6B" w:rsidP="00A32F6B">
      <w:r>
        <w:t xml:space="preserve">It is, therefore, requested that </w:t>
      </w:r>
      <w:r w:rsidR="003B7CEA">
        <w:t xml:space="preserve">the </w:t>
      </w:r>
      <w:r>
        <w:t>current</w:t>
      </w:r>
      <w:r w:rsidR="00AA778F">
        <w:t xml:space="preserve"> requirements of using FDA </w:t>
      </w:r>
      <w:r>
        <w:t>recommended drug dissolution apparatuses (basket/paddle</w:t>
      </w:r>
      <w:r w:rsidR="00CC2BBB">
        <w:t xml:space="preserve"> and others</w:t>
      </w:r>
      <w:r>
        <w:t>) be withdrawn from the regulatory requirements</w:t>
      </w:r>
      <w:r w:rsidR="00E4416E">
        <w:t xml:space="preserve"> </w:t>
      </w:r>
      <w:r w:rsidR="00C97E3C">
        <w:t xml:space="preserve">to </w:t>
      </w:r>
      <w:r w:rsidR="00E4416E">
        <w:t>address the false claim</w:t>
      </w:r>
      <w:r w:rsidR="003B7C57">
        <w:t>s</w:t>
      </w:r>
      <w:r w:rsidR="00E4416E">
        <w:t xml:space="preserve"> </w:t>
      </w:r>
      <w:r w:rsidR="003B7C57">
        <w:t xml:space="preserve">concerning </w:t>
      </w:r>
      <w:r w:rsidR="00C97E3C">
        <w:t xml:space="preserve">the </w:t>
      </w:r>
      <w:r w:rsidR="00E4416E">
        <w:t>product quality</w:t>
      </w:r>
      <w:r>
        <w:t>.</w:t>
      </w:r>
    </w:p>
    <w:p w:rsidR="004D613E" w:rsidRDefault="00A32F6B" w:rsidP="00A32F6B">
      <w:proofErr w:type="gramStart"/>
      <w:r>
        <w:t>Looking forward to a favourable consideration of this request.</w:t>
      </w:r>
      <w:proofErr w:type="gramEnd"/>
    </w:p>
    <w:p w:rsidR="00E06D13" w:rsidRDefault="00E06D13" w:rsidP="00A32F6B">
      <w:r>
        <w:t>Sincerely,</w:t>
      </w:r>
    </w:p>
    <w:p w:rsidR="00E06D13" w:rsidRDefault="00E06D13" w:rsidP="00A32F6B">
      <w:r>
        <w:t>Saeed Qureshi, Ph.D</w:t>
      </w:r>
      <w:proofErr w:type="gramStart"/>
      <w:r>
        <w:t>.</w:t>
      </w:r>
      <w:proofErr w:type="gramEnd"/>
      <w:r>
        <w:br/>
        <w:t>Research Scientist (Ret</w:t>
      </w:r>
      <w:r w:rsidR="008E4688">
        <w:t>ired)</w:t>
      </w:r>
      <w:r>
        <w:br/>
        <w:t>Health Canada</w:t>
      </w:r>
    </w:p>
    <w:p w:rsidR="00E06D13" w:rsidRDefault="00E06D13" w:rsidP="00A32F6B">
      <w:r>
        <w:t>Principal</w:t>
      </w:r>
      <w:r>
        <w:br/>
      </w:r>
      <w:proofErr w:type="spellStart"/>
      <w:r>
        <w:t>Pharmacmechanics</w:t>
      </w:r>
      <w:proofErr w:type="spellEnd"/>
      <w:r>
        <w:br/>
      </w:r>
      <w:hyperlink r:id="rId6" w:history="1">
        <w:r w:rsidRPr="00C443D5">
          <w:rPr>
            <w:rStyle w:val="Hyperlink"/>
          </w:rPr>
          <w:t>www.pharmacomechanics.com</w:t>
        </w:r>
      </w:hyperlink>
    </w:p>
    <w:p w:rsidR="00E06D13" w:rsidRDefault="00E06D13" w:rsidP="00A32F6B">
      <w:r>
        <w:t xml:space="preserve">Blog </w:t>
      </w:r>
      <w:r w:rsidR="00645315">
        <w:t xml:space="preserve">Owner &amp; </w:t>
      </w:r>
      <w:r>
        <w:t>Moderator</w:t>
      </w:r>
      <w:r>
        <w:br/>
      </w:r>
      <w:hyperlink r:id="rId7" w:history="1">
        <w:r w:rsidRPr="00C443D5">
          <w:rPr>
            <w:rStyle w:val="Hyperlink"/>
          </w:rPr>
          <w:t>www.drug-dissoluion-testing.com</w:t>
        </w:r>
      </w:hyperlink>
    </w:p>
    <w:p w:rsidR="00E06D13" w:rsidRDefault="008E4688" w:rsidP="00A32F6B">
      <w:r>
        <w:t>Mailing Address</w:t>
      </w:r>
      <w:proofErr w:type="gramStart"/>
      <w:r>
        <w:t>:</w:t>
      </w:r>
      <w:proofErr w:type="gramEnd"/>
      <w:r>
        <w:br/>
      </w:r>
      <w:r w:rsidR="00E06D13">
        <w:t>56 Gleeson Wa</w:t>
      </w:r>
      <w:r>
        <w:t>y</w:t>
      </w:r>
      <w:r w:rsidR="00E06D13">
        <w:br/>
      </w:r>
      <w:r w:rsidR="00E06D13">
        <w:lastRenderedPageBreak/>
        <w:t>Ottawa, ON, K2J 4Y7</w:t>
      </w:r>
      <w:r w:rsidR="00E06D13">
        <w:br/>
        <w:t>CANADA</w:t>
      </w:r>
    </w:p>
    <w:p w:rsidR="00E06D13" w:rsidRDefault="00E06D13" w:rsidP="00A32F6B">
      <w:r>
        <w:t xml:space="preserve">Email: </w:t>
      </w:r>
      <w:hyperlink r:id="rId8" w:history="1">
        <w:r w:rsidRPr="00C443D5">
          <w:rPr>
            <w:rStyle w:val="Hyperlink"/>
          </w:rPr>
          <w:t>principal@pharmacomechanics.com</w:t>
        </w:r>
      </w:hyperlink>
      <w:r>
        <w:br/>
        <w:t>Tel: +1 613 797 9815</w:t>
      </w:r>
    </w:p>
    <w:p w:rsidR="00715C45" w:rsidRDefault="00715C45" w:rsidP="00A32F6B">
      <w:r>
        <w:t>Reference</w:t>
      </w:r>
      <w:r w:rsidR="00E06D13">
        <w:t>s</w:t>
      </w:r>
      <w:r>
        <w:t>:</w:t>
      </w:r>
    </w:p>
    <w:p w:rsidR="007023C0" w:rsidRDefault="007023C0" w:rsidP="001563F8">
      <w:pPr>
        <w:pStyle w:val="ListParagraph"/>
        <w:numPr>
          <w:ilvl w:val="0"/>
          <w:numId w:val="1"/>
        </w:numPr>
      </w:pPr>
      <w:r>
        <w:t>FDA Dissolution Methods (</w:t>
      </w:r>
      <w:hyperlink r:id="rId9" w:history="1">
        <w:r w:rsidRPr="00C443D5">
          <w:rPr>
            <w:rStyle w:val="Hyperlink"/>
          </w:rPr>
          <w:t>https://www.accessdata.fda.gov/scripts/cder/dissolution/</w:t>
        </w:r>
      </w:hyperlink>
      <w:r>
        <w:t>)</w:t>
      </w:r>
    </w:p>
    <w:p w:rsidR="007023C0" w:rsidRDefault="007243E4" w:rsidP="007243E4">
      <w:pPr>
        <w:pStyle w:val="ListParagraph"/>
        <w:numPr>
          <w:ilvl w:val="0"/>
          <w:numId w:val="1"/>
        </w:numPr>
      </w:pPr>
      <w:r w:rsidRPr="007243E4">
        <w:t>U.S. Pharmacopoeia-National Formulary. Rockville, M</w:t>
      </w:r>
      <w:r w:rsidR="009F4CB3">
        <w:t>D</w:t>
      </w:r>
      <w:r w:rsidRPr="007243E4">
        <w:t xml:space="preserve">: United States Pharmacopeial Convention, </w:t>
      </w:r>
      <w:r w:rsidR="00EE39B3" w:rsidRPr="007243E4">
        <w:t>Inc.</w:t>
      </w:r>
      <w:r w:rsidRPr="007243E4">
        <w:t xml:space="preserve">; </w:t>
      </w:r>
      <w:r>
        <w:t>General Chapter &lt;711&gt; Dissolution.</w:t>
      </w:r>
    </w:p>
    <w:p w:rsidR="001563F8" w:rsidRDefault="001563F8" w:rsidP="009F4CB3">
      <w:pPr>
        <w:pStyle w:val="ListParagraph"/>
        <w:numPr>
          <w:ilvl w:val="0"/>
          <w:numId w:val="1"/>
        </w:numPr>
      </w:pPr>
      <w:r>
        <w:t>Dissolution Testing of Immediate Release Solid Oral Dosage Forms (</w:t>
      </w:r>
      <w:hyperlink r:id="rId10" w:history="1">
        <w:r w:rsidR="009F4CB3" w:rsidRPr="00C443D5">
          <w:rPr>
            <w:rStyle w:val="Hyperlink"/>
          </w:rPr>
          <w:t>https://www.fda.gov/downloads/Drugs/GuidanceComplianceRegulatoryInformation/Guidances/UCM070237.pdf</w:t>
        </w:r>
      </w:hyperlink>
      <w:r>
        <w:t>)</w:t>
      </w:r>
      <w:r w:rsidR="009F4CB3">
        <w:t xml:space="preserve"> </w:t>
      </w:r>
    </w:p>
    <w:p w:rsidR="001563F8" w:rsidRDefault="001563F8" w:rsidP="001563F8">
      <w:pPr>
        <w:pStyle w:val="ListParagraph"/>
        <w:numPr>
          <w:ilvl w:val="0"/>
          <w:numId w:val="1"/>
        </w:numPr>
      </w:pPr>
      <w:r>
        <w:t>Extended Release Oral Dosage Forms: Development, Evaluation, and Application of In Vitro/In Vivo Correlations (</w:t>
      </w:r>
      <w:hyperlink r:id="rId11" w:history="1">
        <w:r w:rsidRPr="00C443D5">
          <w:rPr>
            <w:rStyle w:val="Hyperlink"/>
          </w:rPr>
          <w:t>https://www.fda.gov/downloads/Drugs/GuidanceComplianceRegulatoryInformation/Guidances/UCM070239.pdf</w:t>
        </w:r>
      </w:hyperlink>
      <w:r>
        <w:t>)</w:t>
      </w:r>
    </w:p>
    <w:p w:rsidR="001563F8" w:rsidRDefault="001563F8" w:rsidP="001563F8">
      <w:pPr>
        <w:pStyle w:val="ListParagraph"/>
        <w:numPr>
          <w:ilvl w:val="0"/>
          <w:numId w:val="1"/>
        </w:numPr>
      </w:pPr>
      <w:r>
        <w:t>Waiver of In Vivo Bioavailability and Bioequivalence Studies for Immediate-Release Solid Oral Dosage Forms Based on a Biopharmaceutics Classification System (</w:t>
      </w:r>
      <w:hyperlink r:id="rId12" w:history="1">
        <w:r w:rsidRPr="00C443D5">
          <w:rPr>
            <w:rStyle w:val="Hyperlink"/>
          </w:rPr>
          <w:t>https://www.fda.gov/downloads/Drugs/GuidanceComplianceRegulatoryInformation/Guidances/UCM070246.pdf</w:t>
        </w:r>
      </w:hyperlink>
      <w:r>
        <w:t>)</w:t>
      </w:r>
    </w:p>
    <w:p w:rsidR="00FE04D7" w:rsidRDefault="00FE04D7" w:rsidP="00F271E8">
      <w:pPr>
        <w:pStyle w:val="ListParagraph"/>
        <w:numPr>
          <w:ilvl w:val="0"/>
          <w:numId w:val="1"/>
        </w:numPr>
      </w:pPr>
      <w:r w:rsidRPr="00FE04D7">
        <w:t>CFR - Code of Federal Regulations Title 21</w:t>
      </w:r>
      <w:r>
        <w:t xml:space="preserve"> [</w:t>
      </w:r>
      <w:hyperlink r:id="rId13" w:history="1">
        <w:r w:rsidRPr="00551BBB">
          <w:rPr>
            <w:rStyle w:val="Hyperlink"/>
          </w:rPr>
          <w:t>21 CF</w:t>
        </w:r>
        <w:r w:rsidRPr="00551BBB">
          <w:rPr>
            <w:rStyle w:val="Hyperlink"/>
          </w:rPr>
          <w:t>R</w:t>
        </w:r>
        <w:r w:rsidRPr="00551BBB">
          <w:rPr>
            <w:rStyle w:val="Hyperlink"/>
          </w:rPr>
          <w:t xml:space="preserve"> 111.320</w:t>
        </w:r>
      </w:hyperlink>
      <w:r w:rsidR="00F271E8">
        <w:t xml:space="preserve">]: </w:t>
      </w:r>
      <w:r w:rsidR="00F271E8" w:rsidRPr="00F271E8">
        <w:t>What requirements apply to laboratory methods for testing and examination?</w:t>
      </w:r>
    </w:p>
    <w:p w:rsidR="00F271E8" w:rsidRDefault="00F271E8" w:rsidP="00F271E8">
      <w:pPr>
        <w:pStyle w:val="ListParagraph"/>
        <w:numPr>
          <w:ilvl w:val="0"/>
          <w:numId w:val="1"/>
        </w:numPr>
      </w:pPr>
      <w:r w:rsidRPr="00FE04D7">
        <w:t>CFR - Code of Federal Regulations Title 21</w:t>
      </w:r>
      <w:r>
        <w:t xml:space="preserve"> [</w:t>
      </w:r>
      <w:hyperlink r:id="rId14" w:history="1">
        <w:r>
          <w:rPr>
            <w:rStyle w:val="Hyperlink"/>
          </w:rPr>
          <w:t>21 CFR 820.72</w:t>
        </w:r>
      </w:hyperlink>
      <w:r>
        <w:t>]</w:t>
      </w:r>
      <w:r>
        <w:t xml:space="preserve">: </w:t>
      </w:r>
      <w:r w:rsidRPr="00F271E8">
        <w:t>Inspection, measuring, and test equipment</w:t>
      </w:r>
      <w:r>
        <w:t>.</w:t>
      </w:r>
    </w:p>
    <w:p w:rsidR="00DD2572" w:rsidRDefault="00DD2572" w:rsidP="00DD2572">
      <w:pPr>
        <w:pStyle w:val="ListParagraph"/>
        <w:numPr>
          <w:ilvl w:val="0"/>
          <w:numId w:val="1"/>
        </w:numPr>
      </w:pPr>
      <w:r w:rsidRPr="00FE04D7">
        <w:t>CFR - Code of Federal Regulations Title 21</w:t>
      </w:r>
      <w:r>
        <w:t xml:space="preserve"> [</w:t>
      </w:r>
      <w:hyperlink r:id="rId15" w:history="1">
        <w:r>
          <w:rPr>
            <w:rStyle w:val="Hyperlink"/>
          </w:rPr>
          <w:t>21 CFR 211.194 (a) (2)</w:t>
        </w:r>
      </w:hyperlink>
      <w:r>
        <w:t xml:space="preserve">]: </w:t>
      </w:r>
      <w:r w:rsidRPr="00DD2572">
        <w:t>Laboratory records.</w:t>
      </w:r>
    </w:p>
    <w:p w:rsidR="00E06D13" w:rsidRDefault="00E06D13" w:rsidP="00EE39B3">
      <w:pPr>
        <w:ind w:left="142"/>
      </w:pPr>
      <w:r w:rsidRPr="00E06D13">
        <w:rPr>
          <w:b/>
        </w:rPr>
        <w:t>Some relevant articles from the blog with links</w:t>
      </w:r>
      <w:r>
        <w:t xml:space="preserve"> (</w:t>
      </w:r>
      <w:hyperlink r:id="rId16" w:history="1">
        <w:r w:rsidRPr="00C443D5">
          <w:rPr>
            <w:rStyle w:val="Hyperlink"/>
          </w:rPr>
          <w:t>www.drug-dissolution-testing.com</w:t>
        </w:r>
      </w:hyperlink>
      <w:r>
        <w:t xml:space="preserve">) </w:t>
      </w:r>
    </w:p>
    <w:p w:rsidR="00E06D13" w:rsidRDefault="00E06D13" w:rsidP="00E06D13">
      <w:pPr>
        <w:pStyle w:val="ListParagraph"/>
        <w:numPr>
          <w:ilvl w:val="0"/>
          <w:numId w:val="1"/>
        </w:numPr>
      </w:pPr>
      <w:r w:rsidRPr="00E06D13">
        <w:t>Validation – what it really means!</w:t>
      </w:r>
      <w:r>
        <w:t xml:space="preserve"> (</w:t>
      </w:r>
      <w:hyperlink r:id="rId17" w:history="1">
        <w:r w:rsidR="000956BE" w:rsidRPr="00C443D5">
          <w:rPr>
            <w:rStyle w:val="Hyperlink"/>
          </w:rPr>
          <w:t>http://www.drug-dissolution-testing.com/?p=2988</w:t>
        </w:r>
      </w:hyperlink>
      <w:r>
        <w:t>)</w:t>
      </w:r>
    </w:p>
    <w:p w:rsidR="000956BE" w:rsidRDefault="000956BE" w:rsidP="000956BE">
      <w:pPr>
        <w:pStyle w:val="ListParagraph"/>
        <w:numPr>
          <w:ilvl w:val="0"/>
          <w:numId w:val="1"/>
        </w:numPr>
      </w:pPr>
      <w:r w:rsidRPr="000956BE">
        <w:t>Impact of the revised USP Chapter &lt;1058&gt; [Analytical Instrument Qualification - AIQ] on the pharmacopeial drug dissolution testing – the beginning of the end of the use of current dissolution apparatuses including Basket/Paddle!</w:t>
      </w:r>
      <w:r>
        <w:t xml:space="preserve"> (</w:t>
      </w:r>
      <w:hyperlink r:id="rId18" w:history="1">
        <w:r w:rsidRPr="00C443D5">
          <w:rPr>
            <w:rStyle w:val="Hyperlink"/>
          </w:rPr>
          <w:t>http://www.drug-dissolution-testing.com/?p=2933</w:t>
        </w:r>
      </w:hyperlink>
      <w:r>
        <w:t>).</w:t>
      </w:r>
    </w:p>
    <w:p w:rsidR="000956BE" w:rsidRDefault="000956BE" w:rsidP="000956BE">
      <w:pPr>
        <w:pStyle w:val="ListParagraph"/>
        <w:numPr>
          <w:ilvl w:val="0"/>
          <w:numId w:val="1"/>
        </w:numPr>
      </w:pPr>
      <w:r w:rsidRPr="000956BE">
        <w:t>Response to a recent query: Scientifically all dissolution results obtained using currently recommended apparatuses would be null and void and non-GMP compliant!</w:t>
      </w:r>
      <w:r>
        <w:t xml:space="preserve"> (</w:t>
      </w:r>
      <w:hyperlink r:id="rId19" w:history="1">
        <w:r w:rsidRPr="00C443D5">
          <w:rPr>
            <w:rStyle w:val="Hyperlink"/>
          </w:rPr>
          <w:t>http://www.drug-dissolution-testing.com/?p=2731</w:t>
        </w:r>
      </w:hyperlink>
      <w:r>
        <w:t>).</w:t>
      </w:r>
    </w:p>
    <w:p w:rsidR="000956BE" w:rsidRDefault="000956BE" w:rsidP="000956BE">
      <w:pPr>
        <w:pStyle w:val="ListParagraph"/>
        <w:numPr>
          <w:ilvl w:val="0"/>
          <w:numId w:val="1"/>
        </w:numPr>
      </w:pPr>
      <w:r w:rsidRPr="000956BE">
        <w:t>Addressing the issue of failing calibration/PVT of dissolution testers (paddle/basket)</w:t>
      </w:r>
      <w:r>
        <w:t>, (</w:t>
      </w:r>
      <w:hyperlink r:id="rId20" w:history="1">
        <w:r w:rsidRPr="00C443D5">
          <w:rPr>
            <w:rStyle w:val="Hyperlink"/>
          </w:rPr>
          <w:t>http://www.drug-dissolution-testing.com/?p=2281</w:t>
        </w:r>
      </w:hyperlink>
      <w:r>
        <w:t xml:space="preserve">) </w:t>
      </w:r>
    </w:p>
    <w:p w:rsidR="00B978B6" w:rsidRPr="00B978B6" w:rsidRDefault="00B978B6" w:rsidP="00B978B6">
      <w:r>
        <w:rPr>
          <w:b/>
        </w:rPr>
        <w:t>PS:</w:t>
      </w:r>
      <w:r>
        <w:t xml:space="preserve"> </w:t>
      </w:r>
      <w:r w:rsidRPr="00B978B6">
        <w:rPr>
          <w:b/>
          <w:i/>
        </w:rPr>
        <w:t>For convenience, a Word document is provided as an attachment as well.</w:t>
      </w:r>
      <w:bookmarkEnd w:id="0"/>
    </w:p>
    <w:sectPr w:rsidR="00B978B6" w:rsidRPr="00B97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A58"/>
    <w:multiLevelType w:val="hybridMultilevel"/>
    <w:tmpl w:val="DF5442D8"/>
    <w:lvl w:ilvl="0" w:tplc="3D041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6B"/>
    <w:rsid w:val="000021EE"/>
    <w:rsid w:val="000956BE"/>
    <w:rsid w:val="001563F8"/>
    <w:rsid w:val="00206492"/>
    <w:rsid w:val="00367C27"/>
    <w:rsid w:val="003B7C57"/>
    <w:rsid w:val="003B7CEA"/>
    <w:rsid w:val="00477A0F"/>
    <w:rsid w:val="004858B7"/>
    <w:rsid w:val="00492396"/>
    <w:rsid w:val="004D613E"/>
    <w:rsid w:val="005278EA"/>
    <w:rsid w:val="0054263E"/>
    <w:rsid w:val="00551BBB"/>
    <w:rsid w:val="00645315"/>
    <w:rsid w:val="006D19A3"/>
    <w:rsid w:val="006F06FE"/>
    <w:rsid w:val="007023C0"/>
    <w:rsid w:val="00715C45"/>
    <w:rsid w:val="007238D6"/>
    <w:rsid w:val="007243E4"/>
    <w:rsid w:val="00777AF4"/>
    <w:rsid w:val="00777B69"/>
    <w:rsid w:val="008E4688"/>
    <w:rsid w:val="00961321"/>
    <w:rsid w:val="009B2F7D"/>
    <w:rsid w:val="009F4CB3"/>
    <w:rsid w:val="00A32F6B"/>
    <w:rsid w:val="00AA778F"/>
    <w:rsid w:val="00B978B6"/>
    <w:rsid w:val="00C97E3C"/>
    <w:rsid w:val="00CC2BBB"/>
    <w:rsid w:val="00D2107B"/>
    <w:rsid w:val="00DD2572"/>
    <w:rsid w:val="00E06D13"/>
    <w:rsid w:val="00E418D7"/>
    <w:rsid w:val="00E4416E"/>
    <w:rsid w:val="00EE39B3"/>
    <w:rsid w:val="00F271E8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pharmacomechanics.com" TargetMode="External"/><Relationship Id="rId13" Type="http://schemas.openxmlformats.org/officeDocument/2006/relationships/hyperlink" Target="https://www.accessdata.fda.gov/scripts/cdrh/cfdocs/cfcfr/CFRSearch.cfm?fr=111.320" TargetMode="External"/><Relationship Id="rId18" Type="http://schemas.openxmlformats.org/officeDocument/2006/relationships/hyperlink" Target="http://www.drug-dissolution-testing.com/?p=293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drug-dissoluion-testing.com" TargetMode="External"/><Relationship Id="rId12" Type="http://schemas.openxmlformats.org/officeDocument/2006/relationships/hyperlink" Target="https://www.fda.gov/downloads/Drugs/GuidanceComplianceRegulatoryInformation/Guidances/UCM070246.pdf" TargetMode="External"/><Relationship Id="rId17" Type="http://schemas.openxmlformats.org/officeDocument/2006/relationships/hyperlink" Target="http://www.drug-dissolution-testing.com/?p=298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ug-dissolution-testing.com" TargetMode="External"/><Relationship Id="rId20" Type="http://schemas.openxmlformats.org/officeDocument/2006/relationships/hyperlink" Target="http://www.drug-dissolution-testing.com/?p=22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harmacomechanics.com" TargetMode="External"/><Relationship Id="rId11" Type="http://schemas.openxmlformats.org/officeDocument/2006/relationships/hyperlink" Target="https://www.fda.gov/downloads/Drugs/GuidanceComplianceRegulatoryInformation/Guidances/UCM07023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cessdata.fda.gov/scripts/cdrh/cfdocs/cfcfr/CFRSearch.cfm?fr=211.194" TargetMode="External"/><Relationship Id="rId10" Type="http://schemas.openxmlformats.org/officeDocument/2006/relationships/hyperlink" Target="https://www.fda.gov/downloads/Drugs/GuidanceComplianceRegulatoryInformation/Guidances/UCM070237.pdf" TargetMode="External"/><Relationship Id="rId19" Type="http://schemas.openxmlformats.org/officeDocument/2006/relationships/hyperlink" Target="http://www.drug-dissolution-testing.com/?p=2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data.fda.gov/scripts/cder/dissolution/" TargetMode="External"/><Relationship Id="rId14" Type="http://schemas.openxmlformats.org/officeDocument/2006/relationships/hyperlink" Target="https://www.accessdata.fda.gov/scripts/cdrh/cfdocs/cfcfr/CFRSearch.cfm?fr=820.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4941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2018-08-06T15:36:00Z</dcterms:created>
  <dcterms:modified xsi:type="dcterms:W3CDTF">2018-08-06T15:36:00Z</dcterms:modified>
</cp:coreProperties>
</file>